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D1" w:rsidRDefault="00635E80">
      <w:proofErr w:type="spellStart"/>
      <w:r>
        <w:t>Füm</w:t>
      </w:r>
      <w:proofErr w:type="spellEnd"/>
      <w:r>
        <w:t xml:space="preserve"> 1 Juni 2020</w:t>
      </w:r>
    </w:p>
    <w:p w:rsidR="00635E80" w:rsidRDefault="00635E80">
      <w:r>
        <w:t>Völkerrecht</w:t>
      </w:r>
    </w:p>
    <w:p w:rsidR="00635E80" w:rsidRPr="00635E80" w:rsidRDefault="00635E80" w:rsidP="00635E80">
      <w:pPr>
        <w:pStyle w:val="Listenabsatz"/>
        <w:numPr>
          <w:ilvl w:val="0"/>
          <w:numId w:val="1"/>
        </w:numPr>
        <w:rPr>
          <w:sz w:val="24"/>
        </w:rPr>
      </w:pPr>
      <w:r w:rsidRPr="00635E80">
        <w:rPr>
          <w:sz w:val="24"/>
        </w:rPr>
        <w:t>Wie und in welchem Umfang kann die Zuständigkeit des Internationalen Gerichthofes begründet werden?</w:t>
      </w:r>
    </w:p>
    <w:p w:rsidR="00635E80" w:rsidRPr="00210455" w:rsidRDefault="00635E80" w:rsidP="00635E80">
      <w:pPr>
        <w:pStyle w:val="Listenabsatz"/>
        <w:numPr>
          <w:ilvl w:val="0"/>
          <w:numId w:val="1"/>
        </w:numPr>
        <w:rPr>
          <w:sz w:val="24"/>
        </w:rPr>
      </w:pPr>
      <w:r w:rsidRPr="00210455">
        <w:rPr>
          <w:sz w:val="24"/>
        </w:rPr>
        <w:t xml:space="preserve">Der Staat </w:t>
      </w:r>
      <w:proofErr w:type="spellStart"/>
      <w:r w:rsidRPr="00210455">
        <w:rPr>
          <w:sz w:val="24"/>
        </w:rPr>
        <w:t>Riserva</w:t>
      </w:r>
      <w:proofErr w:type="spellEnd"/>
      <w:r w:rsidRPr="00210455">
        <w:rPr>
          <w:sz w:val="24"/>
        </w:rPr>
        <w:t xml:space="preserve"> fügt einem </w:t>
      </w:r>
      <w:proofErr w:type="spellStart"/>
      <w:r w:rsidRPr="00210455">
        <w:rPr>
          <w:sz w:val="24"/>
        </w:rPr>
        <w:t>mulitlateralen</w:t>
      </w:r>
      <w:proofErr w:type="spellEnd"/>
      <w:r w:rsidRPr="00210455">
        <w:rPr>
          <w:sz w:val="24"/>
        </w:rPr>
        <w:t xml:space="preserve"> Vertrag, der keine Bestimmungen über </w:t>
      </w:r>
      <w:proofErr w:type="spellStart"/>
      <w:r w:rsidRPr="00210455">
        <w:rPr>
          <w:sz w:val="24"/>
        </w:rPr>
        <w:t>Vorbahelte</w:t>
      </w:r>
      <w:proofErr w:type="spellEnd"/>
      <w:r w:rsidRPr="00210455">
        <w:rPr>
          <w:sz w:val="24"/>
        </w:rPr>
        <w:t xml:space="preserve"> enthält, eine Erklärung hinzu, wonach zwei seiner Artikel für </w:t>
      </w:r>
      <w:proofErr w:type="spellStart"/>
      <w:r w:rsidRPr="00210455">
        <w:rPr>
          <w:sz w:val="24"/>
        </w:rPr>
        <w:t>Riserva</w:t>
      </w:r>
      <w:proofErr w:type="spellEnd"/>
      <w:r w:rsidRPr="00210455">
        <w:rPr>
          <w:sz w:val="24"/>
        </w:rPr>
        <w:t xml:space="preserve"> nicht anwendbar seien. Als der Staat </w:t>
      </w:r>
      <w:proofErr w:type="spellStart"/>
      <w:r w:rsidRPr="00210455">
        <w:rPr>
          <w:sz w:val="24"/>
        </w:rPr>
        <w:t>Complianza</w:t>
      </w:r>
      <w:proofErr w:type="spellEnd"/>
      <w:r w:rsidRPr="00210455">
        <w:rPr>
          <w:sz w:val="24"/>
        </w:rPr>
        <w:t xml:space="preserve"> protestiert und darauf hinweist, dass ein solcher Vorbehalt mangels ausdrücklicher Zulässigkeit im Vertrag verboten sein, </w:t>
      </w:r>
      <w:proofErr w:type="spellStart"/>
      <w:r w:rsidRPr="00210455">
        <w:rPr>
          <w:sz w:val="24"/>
        </w:rPr>
        <w:t>weridert</w:t>
      </w:r>
      <w:proofErr w:type="spellEnd"/>
      <w:r w:rsidRPr="00210455">
        <w:rPr>
          <w:sz w:val="24"/>
        </w:rPr>
        <w:t xml:space="preserve"> </w:t>
      </w:r>
      <w:proofErr w:type="spellStart"/>
      <w:r w:rsidRPr="00210455">
        <w:rPr>
          <w:sz w:val="24"/>
        </w:rPr>
        <w:t>Riserva</w:t>
      </w:r>
      <w:proofErr w:type="spellEnd"/>
      <w:r w:rsidRPr="00210455">
        <w:rPr>
          <w:sz w:val="24"/>
        </w:rPr>
        <w:t xml:space="preserve">, dass es sich gar nicht um einen </w:t>
      </w:r>
      <w:proofErr w:type="spellStart"/>
      <w:r w:rsidRPr="00210455">
        <w:rPr>
          <w:sz w:val="24"/>
        </w:rPr>
        <w:t>Vrobehalt</w:t>
      </w:r>
      <w:proofErr w:type="spellEnd"/>
      <w:r w:rsidRPr="00210455">
        <w:rPr>
          <w:sz w:val="24"/>
        </w:rPr>
        <w:t xml:space="preserve"> handle und selbst wenn es einer sei, dieser aufgrund einer langjährigen Praxis im </w:t>
      </w:r>
      <w:proofErr w:type="spellStart"/>
      <w:r w:rsidRPr="00210455">
        <w:rPr>
          <w:sz w:val="24"/>
        </w:rPr>
        <w:t>Hinblich</w:t>
      </w:r>
      <w:proofErr w:type="spellEnd"/>
      <w:r w:rsidRPr="00210455">
        <w:rPr>
          <w:sz w:val="24"/>
        </w:rPr>
        <w:t xml:space="preserve"> auf bi- und </w:t>
      </w:r>
      <w:proofErr w:type="spellStart"/>
      <w:r w:rsidRPr="00210455">
        <w:rPr>
          <w:sz w:val="24"/>
        </w:rPr>
        <w:t>mulitlaterale</w:t>
      </w:r>
      <w:proofErr w:type="spellEnd"/>
      <w:r w:rsidRPr="00210455">
        <w:rPr>
          <w:sz w:val="24"/>
        </w:rPr>
        <w:t xml:space="preserve"> Verträge längst eine </w:t>
      </w:r>
      <w:proofErr w:type="spellStart"/>
      <w:r w:rsidRPr="00210455">
        <w:rPr>
          <w:sz w:val="24"/>
        </w:rPr>
        <w:t>gewohnheitsrechltiche</w:t>
      </w:r>
      <w:proofErr w:type="spellEnd"/>
      <w:r w:rsidRPr="00210455">
        <w:rPr>
          <w:sz w:val="24"/>
        </w:rPr>
        <w:t xml:space="preserve"> Grundlage habe, und </w:t>
      </w:r>
      <w:proofErr w:type="spellStart"/>
      <w:r w:rsidRPr="00210455">
        <w:rPr>
          <w:sz w:val="24"/>
        </w:rPr>
        <w:t>Riserva</w:t>
      </w:r>
      <w:proofErr w:type="spellEnd"/>
      <w:r w:rsidRPr="00210455">
        <w:rPr>
          <w:sz w:val="24"/>
        </w:rPr>
        <w:t xml:space="preserve"> daher den </w:t>
      </w:r>
      <w:proofErr w:type="spellStart"/>
      <w:r w:rsidRPr="00210455">
        <w:rPr>
          <w:sz w:val="24"/>
        </w:rPr>
        <w:t>Ausscluss</w:t>
      </w:r>
      <w:proofErr w:type="spellEnd"/>
      <w:r w:rsidRPr="00210455">
        <w:rPr>
          <w:sz w:val="24"/>
        </w:rPr>
        <w:t xml:space="preserve"> der Anwendbarkeit einzelner Artikel rechtswirksam </w:t>
      </w:r>
      <w:proofErr w:type="spellStart"/>
      <w:r w:rsidRPr="00210455">
        <w:rPr>
          <w:sz w:val="24"/>
        </w:rPr>
        <w:t>festellen</w:t>
      </w:r>
      <w:proofErr w:type="spellEnd"/>
      <w:r w:rsidRPr="00210455">
        <w:rPr>
          <w:sz w:val="24"/>
        </w:rPr>
        <w:t xml:space="preserve"> könne.</w:t>
      </w:r>
    </w:p>
    <w:p w:rsidR="00635E80" w:rsidRDefault="00635E80" w:rsidP="00635E80">
      <w:pPr>
        <w:ind w:left="732" w:firstLine="708"/>
        <w:rPr>
          <w:sz w:val="24"/>
        </w:rPr>
      </w:pPr>
      <w:r>
        <w:rPr>
          <w:sz w:val="24"/>
        </w:rPr>
        <w:t>Beurteilen Sie die Aussagen der beiden Staaten.</w:t>
      </w:r>
    </w:p>
    <w:p w:rsidR="00635E80" w:rsidRPr="00635E80" w:rsidRDefault="00635E80" w:rsidP="00635E80">
      <w:pPr>
        <w:pStyle w:val="Listenabsatz"/>
        <w:numPr>
          <w:ilvl w:val="0"/>
          <w:numId w:val="1"/>
        </w:numPr>
        <w:rPr>
          <w:sz w:val="24"/>
        </w:rPr>
      </w:pPr>
    </w:p>
    <w:p w:rsidR="00635E80" w:rsidRPr="00210455" w:rsidRDefault="00635E80" w:rsidP="00635E80">
      <w:pPr>
        <w:pStyle w:val="Listenabsatz"/>
        <w:numPr>
          <w:ilvl w:val="0"/>
          <w:numId w:val="2"/>
        </w:numPr>
        <w:rPr>
          <w:sz w:val="24"/>
        </w:rPr>
      </w:pPr>
      <w:r w:rsidRPr="00210455">
        <w:rPr>
          <w:sz w:val="24"/>
        </w:rPr>
        <w:t xml:space="preserve">Was sind </w:t>
      </w:r>
      <w:proofErr w:type="spellStart"/>
      <w:r w:rsidRPr="00210455">
        <w:rPr>
          <w:sz w:val="24"/>
        </w:rPr>
        <w:t>Völerrechtsquellen</w:t>
      </w:r>
      <w:proofErr w:type="spellEnd"/>
      <w:r w:rsidRPr="00210455">
        <w:rPr>
          <w:sz w:val="24"/>
        </w:rPr>
        <w:t>?</w:t>
      </w:r>
    </w:p>
    <w:p w:rsidR="00635E80" w:rsidRPr="00210455" w:rsidRDefault="00635E80" w:rsidP="00635E80">
      <w:pPr>
        <w:pStyle w:val="Listenabsatz"/>
        <w:numPr>
          <w:ilvl w:val="0"/>
          <w:numId w:val="2"/>
        </w:numPr>
        <w:rPr>
          <w:sz w:val="24"/>
        </w:rPr>
      </w:pPr>
      <w:r w:rsidRPr="00210455">
        <w:rPr>
          <w:sz w:val="24"/>
        </w:rPr>
        <w:t>Allgemeine Rechtsgrundsätze</w:t>
      </w:r>
    </w:p>
    <w:p w:rsidR="00635E80" w:rsidRPr="00210455" w:rsidRDefault="00635E80" w:rsidP="00635E80">
      <w:pPr>
        <w:pStyle w:val="Listenabsatz"/>
        <w:numPr>
          <w:ilvl w:val="0"/>
          <w:numId w:val="2"/>
        </w:numPr>
        <w:rPr>
          <w:sz w:val="24"/>
        </w:rPr>
      </w:pPr>
      <w:r w:rsidRPr="00210455">
        <w:rPr>
          <w:sz w:val="24"/>
        </w:rPr>
        <w:t>Wo sind diese geregelt?</w:t>
      </w:r>
    </w:p>
    <w:p w:rsidR="00635E80" w:rsidRPr="00210455" w:rsidRDefault="00635E80" w:rsidP="00635E80">
      <w:pPr>
        <w:pStyle w:val="Listenabsatz"/>
        <w:numPr>
          <w:ilvl w:val="0"/>
          <w:numId w:val="2"/>
        </w:numPr>
        <w:rPr>
          <w:sz w:val="24"/>
        </w:rPr>
      </w:pPr>
      <w:r w:rsidRPr="00210455">
        <w:rPr>
          <w:sz w:val="24"/>
        </w:rPr>
        <w:t>Was bedeutet Soft Law? Kennen Sie Beispiele?</w:t>
      </w:r>
    </w:p>
    <w:p w:rsidR="00635E80" w:rsidRDefault="00635E80" w:rsidP="00635E80">
      <w:pPr>
        <w:rPr>
          <w:sz w:val="24"/>
        </w:rPr>
      </w:pPr>
    </w:p>
    <w:p w:rsidR="00635E80" w:rsidRDefault="00635E80" w:rsidP="00635E80">
      <w:pPr>
        <w:pStyle w:val="Listenabsatz"/>
        <w:numPr>
          <w:ilvl w:val="0"/>
          <w:numId w:val="1"/>
        </w:numPr>
        <w:rPr>
          <w:sz w:val="24"/>
        </w:rPr>
      </w:pPr>
      <w:r w:rsidRPr="00635E80">
        <w:rPr>
          <w:sz w:val="24"/>
        </w:rPr>
        <w:t xml:space="preserve">Der Staat </w:t>
      </w:r>
      <w:proofErr w:type="spellStart"/>
      <w:r w:rsidRPr="00635E80">
        <w:rPr>
          <w:sz w:val="24"/>
        </w:rPr>
        <w:t>Aregina</w:t>
      </w:r>
      <w:proofErr w:type="spellEnd"/>
      <w:r w:rsidRPr="00635E80">
        <w:rPr>
          <w:sz w:val="24"/>
        </w:rPr>
        <w:t xml:space="preserve"> wird durch eine Pandemie in Mitleidenschaft gezogen. Die Wirtschaft im </w:t>
      </w:r>
      <w:proofErr w:type="spellStart"/>
      <w:r w:rsidRPr="00635E80">
        <w:rPr>
          <w:sz w:val="24"/>
        </w:rPr>
        <w:t>land</w:t>
      </w:r>
      <w:proofErr w:type="spellEnd"/>
      <w:r w:rsidRPr="00635E80">
        <w:rPr>
          <w:sz w:val="24"/>
        </w:rPr>
        <w:t xml:space="preserve"> ist schwer betroffen, sodass zahlreiche Menschen von Armut bedroht sind. Auch das Gesundheitssystem </w:t>
      </w:r>
      <w:proofErr w:type="spellStart"/>
      <w:r w:rsidRPr="00635E80">
        <w:rPr>
          <w:sz w:val="24"/>
        </w:rPr>
        <w:t>geräät</w:t>
      </w:r>
      <w:proofErr w:type="spellEnd"/>
      <w:r w:rsidRPr="00635E80">
        <w:rPr>
          <w:sz w:val="24"/>
        </w:rPr>
        <w:t xml:space="preserve"> stark unter Druck. Die Regierung sieht keinen anderen Ausweg, als international um Hilfe zu bitten. Der befreundete Staat </w:t>
      </w:r>
      <w:proofErr w:type="spellStart"/>
      <w:r w:rsidRPr="00635E80">
        <w:rPr>
          <w:sz w:val="24"/>
        </w:rPr>
        <w:t>Monrowa</w:t>
      </w:r>
      <w:proofErr w:type="spellEnd"/>
      <w:r w:rsidRPr="00635E80">
        <w:rPr>
          <w:sz w:val="24"/>
        </w:rPr>
        <w:t xml:space="preserve"> stellt in der Folge militärische Truppen zur Verfügung, um bei der </w:t>
      </w:r>
      <w:proofErr w:type="spellStart"/>
      <w:r w:rsidRPr="00635E80">
        <w:rPr>
          <w:sz w:val="24"/>
        </w:rPr>
        <w:t>Stailisierung</w:t>
      </w:r>
      <w:proofErr w:type="spellEnd"/>
      <w:r w:rsidRPr="00635E80">
        <w:rPr>
          <w:sz w:val="24"/>
        </w:rPr>
        <w:t xml:space="preserve"> der Sicherheitslage zu helfen. Die NGO „Ärzte ohne Grenzen“ schickt Sanitätseinheiten zur Verbesserung der </w:t>
      </w:r>
      <w:proofErr w:type="spellStart"/>
      <w:r w:rsidRPr="00635E80">
        <w:rPr>
          <w:sz w:val="24"/>
        </w:rPr>
        <w:t>mdizinischen</w:t>
      </w:r>
      <w:proofErr w:type="spellEnd"/>
      <w:r w:rsidRPr="00635E80">
        <w:rPr>
          <w:sz w:val="24"/>
        </w:rPr>
        <w:t xml:space="preserve"> Versorgung. Der Malteser </w:t>
      </w:r>
      <w:proofErr w:type="spellStart"/>
      <w:r w:rsidRPr="00635E80">
        <w:rPr>
          <w:sz w:val="24"/>
        </w:rPr>
        <w:t>Ritteeroden</w:t>
      </w:r>
      <w:proofErr w:type="spellEnd"/>
      <w:r w:rsidRPr="00635E80">
        <w:rPr>
          <w:sz w:val="24"/>
        </w:rPr>
        <w:t xml:space="preserve">, mit dem </w:t>
      </w:r>
      <w:proofErr w:type="spellStart"/>
      <w:r w:rsidRPr="00635E80">
        <w:rPr>
          <w:sz w:val="24"/>
        </w:rPr>
        <w:t>Aregina</w:t>
      </w:r>
      <w:proofErr w:type="spellEnd"/>
      <w:r w:rsidRPr="00635E80">
        <w:rPr>
          <w:sz w:val="24"/>
        </w:rPr>
        <w:t xml:space="preserve"> diplomatische Beziehungen unterhält, verstärkt seine Präsenz, um die Bevölkerung mit Nahrung und Medikamenten zu versorgen. Auch das United </w:t>
      </w:r>
      <w:proofErr w:type="spellStart"/>
      <w:r w:rsidRPr="00635E80">
        <w:rPr>
          <w:sz w:val="24"/>
        </w:rPr>
        <w:t>nations</w:t>
      </w:r>
      <w:proofErr w:type="spellEnd"/>
      <w:r w:rsidRPr="00635E80">
        <w:rPr>
          <w:sz w:val="24"/>
        </w:rPr>
        <w:t xml:space="preserve"> Development Programme, das im </w:t>
      </w:r>
      <w:proofErr w:type="spellStart"/>
      <w:r w:rsidRPr="00635E80">
        <w:rPr>
          <w:sz w:val="24"/>
        </w:rPr>
        <w:t>nachbarstaat</w:t>
      </w:r>
      <w:proofErr w:type="spellEnd"/>
      <w:r w:rsidRPr="00635E80">
        <w:rPr>
          <w:sz w:val="24"/>
        </w:rPr>
        <w:t xml:space="preserve"> tätig </w:t>
      </w:r>
      <w:proofErr w:type="spellStart"/>
      <w:r w:rsidRPr="00635E80">
        <w:rPr>
          <w:sz w:val="24"/>
        </w:rPr>
        <w:t>istm</w:t>
      </w:r>
      <w:proofErr w:type="spellEnd"/>
      <w:r w:rsidRPr="00635E80">
        <w:rPr>
          <w:sz w:val="24"/>
        </w:rPr>
        <w:t xml:space="preserve"> schickt mehrere LKW-Ladungen mit Nahrungsmitteln und Medikamenten. </w:t>
      </w:r>
    </w:p>
    <w:p w:rsidR="00635E80" w:rsidRPr="00635E80" w:rsidRDefault="00635E80" w:rsidP="00635E80">
      <w:pPr>
        <w:pStyle w:val="Listenabsatz"/>
        <w:rPr>
          <w:sz w:val="24"/>
        </w:rPr>
      </w:pPr>
      <w:r w:rsidRPr="00635E80">
        <w:rPr>
          <w:sz w:val="24"/>
        </w:rPr>
        <w:t xml:space="preserve">Der Polizeipräsident der </w:t>
      </w:r>
      <w:proofErr w:type="spellStart"/>
      <w:r w:rsidRPr="00635E80">
        <w:rPr>
          <w:sz w:val="24"/>
        </w:rPr>
        <w:t>areginischen</w:t>
      </w:r>
      <w:proofErr w:type="spellEnd"/>
      <w:r w:rsidRPr="00635E80">
        <w:rPr>
          <w:sz w:val="24"/>
        </w:rPr>
        <w:t xml:space="preserve"> Hauptstadt </w:t>
      </w:r>
      <w:proofErr w:type="spellStart"/>
      <w:r w:rsidRPr="00635E80">
        <w:rPr>
          <w:sz w:val="24"/>
        </w:rPr>
        <w:t>Ubaja</w:t>
      </w:r>
      <w:proofErr w:type="spellEnd"/>
      <w:r w:rsidRPr="00635E80">
        <w:rPr>
          <w:sz w:val="24"/>
        </w:rPr>
        <w:t xml:space="preserve"> in </w:t>
      </w:r>
      <w:proofErr w:type="spellStart"/>
      <w:r w:rsidRPr="00635E80">
        <w:rPr>
          <w:sz w:val="24"/>
        </w:rPr>
        <w:t>Aregina</w:t>
      </w:r>
      <w:proofErr w:type="spellEnd"/>
      <w:r w:rsidRPr="00635E80">
        <w:rPr>
          <w:sz w:val="24"/>
        </w:rPr>
        <w:t xml:space="preserve"> sieht die </w:t>
      </w:r>
      <w:proofErr w:type="spellStart"/>
      <w:r w:rsidRPr="00635E80">
        <w:rPr>
          <w:sz w:val="24"/>
        </w:rPr>
        <w:t>auslänische</w:t>
      </w:r>
      <w:proofErr w:type="spellEnd"/>
      <w:r w:rsidRPr="00635E80">
        <w:rPr>
          <w:sz w:val="24"/>
        </w:rPr>
        <w:t xml:space="preserve"> Präsenz im Inland allerdings sehr kritisch. Er befürchtet eine zu starke Einmischung in innere Angelegenheiten. Er </w:t>
      </w:r>
      <w:proofErr w:type="gramStart"/>
      <w:r w:rsidRPr="00635E80">
        <w:rPr>
          <w:sz w:val="24"/>
        </w:rPr>
        <w:t>wiest</w:t>
      </w:r>
      <w:proofErr w:type="gramEnd"/>
      <w:r w:rsidRPr="00635E80">
        <w:rPr>
          <w:sz w:val="24"/>
        </w:rPr>
        <w:t xml:space="preserve"> daher die Polizei an, die Tätigkeiten der internationalen Helfer genau zu beobachten und bereits bei geringen Verstößen gegen nationale Gesetze oder Verordnungen Festnahmen durchzuführen. In der Folge werden Mitarbeiter der United </w:t>
      </w:r>
      <w:proofErr w:type="spellStart"/>
      <w:r w:rsidRPr="00635E80">
        <w:rPr>
          <w:sz w:val="24"/>
        </w:rPr>
        <w:t>nations</w:t>
      </w:r>
      <w:proofErr w:type="spellEnd"/>
      <w:r w:rsidRPr="00635E80">
        <w:rPr>
          <w:sz w:val="24"/>
        </w:rPr>
        <w:t xml:space="preserve"> Development Programme, des Malteser Ritterordens und Ärzte und Sanitäter von „Ärzte ohne Grenzen“ in Polizeigewahrsam genommen, während Anklagen gegen sie vorbereitet wird. Der Cousin des Polizeipräsidenten, Inhaber einer Wasseraufbereitungsanlage, bringt vor einem Bezirksgericht in </w:t>
      </w:r>
      <w:proofErr w:type="spellStart"/>
      <w:r w:rsidRPr="00635E80">
        <w:rPr>
          <w:sz w:val="24"/>
        </w:rPr>
        <w:t>Ubaja</w:t>
      </w:r>
      <w:proofErr w:type="spellEnd"/>
      <w:r w:rsidRPr="00635E80">
        <w:rPr>
          <w:sz w:val="24"/>
        </w:rPr>
        <w:t xml:space="preserve"> Klage gegen </w:t>
      </w:r>
      <w:proofErr w:type="spellStart"/>
      <w:r w:rsidRPr="00635E80">
        <w:rPr>
          <w:sz w:val="24"/>
        </w:rPr>
        <w:t>Monrowa</w:t>
      </w:r>
      <w:proofErr w:type="spellEnd"/>
      <w:r w:rsidRPr="00635E80">
        <w:rPr>
          <w:sz w:val="24"/>
        </w:rPr>
        <w:t xml:space="preserve"> wegen angeblicher Nichtbezahlung von 5 Millionen Litern Wasser, die von den Truppen </w:t>
      </w:r>
      <w:proofErr w:type="spellStart"/>
      <w:r w:rsidRPr="00635E80">
        <w:rPr>
          <w:sz w:val="24"/>
        </w:rPr>
        <w:t>Monrowas</w:t>
      </w:r>
      <w:proofErr w:type="spellEnd"/>
      <w:r w:rsidRPr="00635E80">
        <w:rPr>
          <w:sz w:val="24"/>
        </w:rPr>
        <w:t xml:space="preserve"> bestellt wurden, ein.</w:t>
      </w:r>
    </w:p>
    <w:p w:rsidR="00635E80" w:rsidRDefault="00635E80" w:rsidP="00635E80">
      <w:pPr>
        <w:pStyle w:val="Listenabsatz"/>
        <w:numPr>
          <w:ilvl w:val="0"/>
          <w:numId w:val="3"/>
        </w:numPr>
        <w:rPr>
          <w:sz w:val="24"/>
        </w:rPr>
      </w:pPr>
      <w:r>
        <w:rPr>
          <w:sz w:val="24"/>
        </w:rPr>
        <w:lastRenderedPageBreak/>
        <w:t xml:space="preserve">Beurteilen Sie die Rechtmäßigkeit der Präsenz der militärischen Truppen </w:t>
      </w:r>
      <w:proofErr w:type="spellStart"/>
      <w:r>
        <w:rPr>
          <w:sz w:val="24"/>
        </w:rPr>
        <w:t>Monrowas</w:t>
      </w:r>
      <w:proofErr w:type="spellEnd"/>
      <w:r>
        <w:rPr>
          <w:sz w:val="24"/>
        </w:rPr>
        <w:t xml:space="preserve"> in </w:t>
      </w:r>
      <w:proofErr w:type="spellStart"/>
      <w:r>
        <w:rPr>
          <w:sz w:val="24"/>
        </w:rPr>
        <w:t>Aregina</w:t>
      </w:r>
      <w:proofErr w:type="spellEnd"/>
      <w:r>
        <w:rPr>
          <w:sz w:val="24"/>
        </w:rPr>
        <w:t>.</w:t>
      </w:r>
    </w:p>
    <w:p w:rsidR="00635E80" w:rsidRDefault="00635E80" w:rsidP="00635E80">
      <w:pPr>
        <w:pStyle w:val="Listenabsatz"/>
        <w:numPr>
          <w:ilvl w:val="0"/>
          <w:numId w:val="3"/>
        </w:numPr>
        <w:rPr>
          <w:sz w:val="24"/>
        </w:rPr>
      </w:pPr>
      <w:r>
        <w:rPr>
          <w:sz w:val="24"/>
        </w:rPr>
        <w:t xml:space="preserve">Beurteilen Sie die Klage gegen </w:t>
      </w:r>
      <w:proofErr w:type="spellStart"/>
      <w:r>
        <w:rPr>
          <w:sz w:val="24"/>
        </w:rPr>
        <w:t>Monrowa</w:t>
      </w:r>
      <w:proofErr w:type="spellEnd"/>
      <w:r>
        <w:rPr>
          <w:sz w:val="24"/>
        </w:rPr>
        <w:t xml:space="preserve"> aus </w:t>
      </w:r>
      <w:proofErr w:type="spellStart"/>
      <w:r>
        <w:rPr>
          <w:sz w:val="24"/>
        </w:rPr>
        <w:t>völkerrechlticher</w:t>
      </w:r>
      <w:proofErr w:type="spellEnd"/>
      <w:r>
        <w:rPr>
          <w:sz w:val="24"/>
        </w:rPr>
        <w:t xml:space="preserve"> Sicht.</w:t>
      </w:r>
    </w:p>
    <w:p w:rsidR="00635E80" w:rsidRDefault="00635E80" w:rsidP="00635E80">
      <w:pPr>
        <w:pStyle w:val="Listenabsatz"/>
        <w:numPr>
          <w:ilvl w:val="0"/>
          <w:numId w:val="3"/>
        </w:numPr>
        <w:rPr>
          <w:sz w:val="24"/>
        </w:rPr>
      </w:pPr>
      <w:r>
        <w:rPr>
          <w:sz w:val="24"/>
        </w:rPr>
        <w:t xml:space="preserve">Beurteilen Sie die Verhaftung der Mitarbeiter des United </w:t>
      </w:r>
      <w:proofErr w:type="spellStart"/>
      <w:r>
        <w:rPr>
          <w:sz w:val="24"/>
        </w:rPr>
        <w:t>Nations</w:t>
      </w:r>
      <w:proofErr w:type="spellEnd"/>
      <w:r>
        <w:rPr>
          <w:sz w:val="24"/>
        </w:rPr>
        <w:t xml:space="preserve"> Development Programme, des Malteser Ritterordens und der Ärzte und Sanitäter von „ Ärzte ohne Grenzen“ aus völkerrechtlicher Sicht.</w:t>
      </w:r>
    </w:p>
    <w:p w:rsidR="00635E80" w:rsidRDefault="00635E80" w:rsidP="00635E80"/>
    <w:p w:rsidR="00635E80" w:rsidRDefault="00635E80" w:rsidP="00635E80">
      <w:r>
        <w:t>Europarecht</w:t>
      </w:r>
    </w:p>
    <w:p w:rsidR="00635E80" w:rsidRDefault="00635E80" w:rsidP="00635E80">
      <w:pPr>
        <w:pStyle w:val="Listenabsatz"/>
        <w:numPr>
          <w:ilvl w:val="0"/>
          <w:numId w:val="4"/>
        </w:numPr>
        <w:rPr>
          <w:sz w:val="24"/>
        </w:rPr>
      </w:pPr>
      <w:r w:rsidRPr="007E033F">
        <w:rPr>
          <w:sz w:val="24"/>
        </w:rPr>
        <w:t>Nennen Sie die w</w:t>
      </w:r>
      <w:r>
        <w:rPr>
          <w:sz w:val="24"/>
        </w:rPr>
        <w:t>ichtigste Restsetzungsgrundlage</w:t>
      </w:r>
      <w:r w:rsidRPr="007E033F">
        <w:rPr>
          <w:sz w:val="24"/>
        </w:rPr>
        <w:t xml:space="preserve"> für die Harmonisierung im Binnenmarkt! </w:t>
      </w:r>
      <w:r>
        <w:rPr>
          <w:sz w:val="24"/>
        </w:rPr>
        <w:t>Kann ein MS von einem solchen Harmonisierungsrechtsakt abweichen? Wenn ja, in welchen zwei Fällen? Wo findet sich die genaue Rechtsgrundlage?</w:t>
      </w:r>
    </w:p>
    <w:p w:rsidR="00635E80" w:rsidRDefault="00635E80" w:rsidP="00635E80">
      <w:pPr>
        <w:pStyle w:val="Listenabsatz"/>
        <w:rPr>
          <w:sz w:val="24"/>
        </w:rPr>
      </w:pPr>
    </w:p>
    <w:p w:rsidR="00635E80" w:rsidRDefault="00635E80" w:rsidP="00635E80">
      <w:pPr>
        <w:pStyle w:val="Listenabsatz"/>
        <w:numPr>
          <w:ilvl w:val="0"/>
          <w:numId w:val="4"/>
        </w:numPr>
        <w:rPr>
          <w:sz w:val="24"/>
        </w:rPr>
      </w:pPr>
      <w:r>
        <w:rPr>
          <w:sz w:val="24"/>
        </w:rPr>
        <w:t xml:space="preserve">a) Wie wird </w:t>
      </w:r>
      <w:proofErr w:type="spellStart"/>
      <w:r>
        <w:rPr>
          <w:sz w:val="24"/>
        </w:rPr>
        <w:t>PräsidentIn</w:t>
      </w:r>
      <w:proofErr w:type="spellEnd"/>
      <w:r>
        <w:rPr>
          <w:sz w:val="24"/>
        </w:rPr>
        <w:t xml:space="preserve"> des Europäischen Parlaments, der </w:t>
      </w:r>
      <w:proofErr w:type="spellStart"/>
      <w:r>
        <w:rPr>
          <w:sz w:val="24"/>
        </w:rPr>
        <w:t>Euroäischen</w:t>
      </w:r>
      <w:proofErr w:type="spellEnd"/>
      <w:r>
        <w:rPr>
          <w:sz w:val="24"/>
        </w:rPr>
        <w:t xml:space="preserve"> Kommission und des Rates bestellt? Nennen Sie auch jeweils die vertraglichen Grundlagen!</w:t>
      </w:r>
    </w:p>
    <w:p w:rsidR="00635E80" w:rsidRDefault="00635E80" w:rsidP="00635E80">
      <w:pPr>
        <w:ind w:left="705"/>
        <w:rPr>
          <w:sz w:val="24"/>
        </w:rPr>
      </w:pPr>
      <w:r>
        <w:rPr>
          <w:sz w:val="24"/>
        </w:rPr>
        <w:t xml:space="preserve">b) Existiert ein Präsident des Rates der </w:t>
      </w:r>
      <w:proofErr w:type="spellStart"/>
      <w:r>
        <w:rPr>
          <w:sz w:val="24"/>
        </w:rPr>
        <w:t>Euroäischen</w:t>
      </w:r>
      <w:proofErr w:type="spellEnd"/>
      <w:r>
        <w:rPr>
          <w:sz w:val="24"/>
        </w:rPr>
        <w:t xml:space="preserve"> Union? Falls ja, wie bestimmt sich dieser? Nennen Sie auch hierzu die relevanten Grundlagen.</w:t>
      </w:r>
    </w:p>
    <w:p w:rsidR="00635E80" w:rsidRDefault="00635E80" w:rsidP="00635E80">
      <w:pPr>
        <w:pStyle w:val="Listenabsatz"/>
        <w:numPr>
          <w:ilvl w:val="0"/>
          <w:numId w:val="4"/>
        </w:numPr>
        <w:rPr>
          <w:sz w:val="24"/>
        </w:rPr>
      </w:pPr>
      <w:r>
        <w:rPr>
          <w:sz w:val="24"/>
        </w:rPr>
        <w:t>Nehmen Sie zu folgenden Aussagen Stellung und geben Sie an, ob diese richtig oder falsch sind.</w:t>
      </w:r>
    </w:p>
    <w:p w:rsidR="00635E80" w:rsidRPr="00635E80" w:rsidRDefault="00635E80" w:rsidP="00635E80">
      <w:pPr>
        <w:pStyle w:val="Listenabsatz"/>
        <w:numPr>
          <w:ilvl w:val="0"/>
          <w:numId w:val="6"/>
        </w:numPr>
        <w:rPr>
          <w:sz w:val="24"/>
        </w:rPr>
      </w:pPr>
      <w:bookmarkStart w:id="0" w:name="_GoBack"/>
      <w:bookmarkEnd w:id="0"/>
      <w:r w:rsidRPr="00635E80">
        <w:rPr>
          <w:sz w:val="24"/>
        </w:rPr>
        <w:t xml:space="preserve">Staatshaftung </w:t>
      </w:r>
      <w:proofErr w:type="spellStart"/>
      <w:r w:rsidRPr="00635E80">
        <w:rPr>
          <w:sz w:val="24"/>
        </w:rPr>
        <w:t>sthet</w:t>
      </w:r>
      <w:proofErr w:type="spellEnd"/>
      <w:r w:rsidRPr="00635E80">
        <w:rPr>
          <w:sz w:val="24"/>
        </w:rPr>
        <w:t xml:space="preserve"> grundsätzlich bei unionwidrigen Handeln durch nationale Höchstgerichte zu.</w:t>
      </w:r>
    </w:p>
    <w:p w:rsidR="00635E80" w:rsidRDefault="00635E80" w:rsidP="00635E80">
      <w:pPr>
        <w:pStyle w:val="Listenabsatz"/>
        <w:numPr>
          <w:ilvl w:val="0"/>
          <w:numId w:val="5"/>
        </w:numPr>
        <w:rPr>
          <w:sz w:val="24"/>
        </w:rPr>
      </w:pPr>
      <w:r>
        <w:rPr>
          <w:sz w:val="24"/>
        </w:rPr>
        <w:t>Die Staatshaftung ist in Art 340 Abs.2 AEUV normiert.</w:t>
      </w:r>
    </w:p>
    <w:p w:rsidR="00635E80" w:rsidRDefault="00635E80" w:rsidP="00635E80">
      <w:pPr>
        <w:pStyle w:val="Listenabsatz"/>
        <w:numPr>
          <w:ilvl w:val="0"/>
          <w:numId w:val="5"/>
        </w:numPr>
        <w:rPr>
          <w:sz w:val="24"/>
        </w:rPr>
      </w:pPr>
      <w:r>
        <w:rPr>
          <w:sz w:val="24"/>
        </w:rPr>
        <w:t xml:space="preserve">Eine Verordnung darf in </w:t>
      </w:r>
      <w:proofErr w:type="spellStart"/>
      <w:r>
        <w:rPr>
          <w:sz w:val="24"/>
        </w:rPr>
        <w:t>nationeles</w:t>
      </w:r>
      <w:proofErr w:type="spellEnd"/>
      <w:r>
        <w:rPr>
          <w:sz w:val="24"/>
        </w:rPr>
        <w:t xml:space="preserve"> Recht umgesetzt werden.</w:t>
      </w:r>
    </w:p>
    <w:p w:rsidR="00635E80" w:rsidRDefault="00635E80" w:rsidP="00635E80">
      <w:pPr>
        <w:pStyle w:val="Listenabsatz"/>
        <w:numPr>
          <w:ilvl w:val="0"/>
          <w:numId w:val="5"/>
        </w:numPr>
        <w:rPr>
          <w:sz w:val="24"/>
        </w:rPr>
      </w:pPr>
      <w:r>
        <w:rPr>
          <w:sz w:val="24"/>
        </w:rPr>
        <w:t xml:space="preserve">Das </w:t>
      </w:r>
      <w:proofErr w:type="spellStart"/>
      <w:r>
        <w:rPr>
          <w:sz w:val="24"/>
        </w:rPr>
        <w:t>allegemeinDiskriminierungsverbot</w:t>
      </w:r>
      <w:proofErr w:type="spellEnd"/>
      <w:r>
        <w:rPr>
          <w:sz w:val="24"/>
        </w:rPr>
        <w:t xml:space="preserve"> gem. Art 18 AEUV untersagt neben Diskriminierungen auch Beschränkungen aller Art.</w:t>
      </w:r>
    </w:p>
    <w:p w:rsidR="00635E80" w:rsidRDefault="00635E80" w:rsidP="00635E80">
      <w:pPr>
        <w:pStyle w:val="Listenabsatz"/>
        <w:numPr>
          <w:ilvl w:val="0"/>
          <w:numId w:val="5"/>
        </w:numPr>
        <w:rPr>
          <w:sz w:val="24"/>
        </w:rPr>
      </w:pPr>
      <w:r>
        <w:rPr>
          <w:sz w:val="24"/>
        </w:rPr>
        <w:t xml:space="preserve">Delegierte Rechtsetzung und </w:t>
      </w:r>
      <w:proofErr w:type="spellStart"/>
      <w:r>
        <w:rPr>
          <w:sz w:val="24"/>
        </w:rPr>
        <w:t>Durchführungrechtsetzung</w:t>
      </w:r>
      <w:proofErr w:type="spellEnd"/>
      <w:r>
        <w:rPr>
          <w:sz w:val="24"/>
        </w:rPr>
        <w:t xml:space="preserve"> können als Synonym verwendet werden.</w:t>
      </w:r>
    </w:p>
    <w:p w:rsidR="00635E80" w:rsidRDefault="00635E80" w:rsidP="00635E80">
      <w:pPr>
        <w:pStyle w:val="Listenabsatz"/>
        <w:numPr>
          <w:ilvl w:val="0"/>
          <w:numId w:val="5"/>
        </w:numPr>
        <w:rPr>
          <w:sz w:val="24"/>
        </w:rPr>
      </w:pPr>
      <w:r>
        <w:rPr>
          <w:sz w:val="24"/>
        </w:rPr>
        <w:t xml:space="preserve">Mittels unionsrechtskonformer Auslegung müssen die Gerichte </w:t>
      </w:r>
      <w:proofErr w:type="gramStart"/>
      <w:r>
        <w:rPr>
          <w:sz w:val="24"/>
        </w:rPr>
        <w:t>der</w:t>
      </w:r>
      <w:proofErr w:type="gramEnd"/>
      <w:r>
        <w:rPr>
          <w:sz w:val="24"/>
        </w:rPr>
        <w:t xml:space="preserve"> MS im Sinne der unionsrechtlichen Grundsätze auslegen.</w:t>
      </w:r>
    </w:p>
    <w:p w:rsidR="00635E80" w:rsidRDefault="00635E80" w:rsidP="00635E80">
      <w:pPr>
        <w:pStyle w:val="Listenabsatz"/>
        <w:ind w:left="1416"/>
        <w:rPr>
          <w:sz w:val="24"/>
        </w:rPr>
      </w:pPr>
    </w:p>
    <w:p w:rsidR="00635E80" w:rsidRDefault="00635E80" w:rsidP="00635E80">
      <w:pPr>
        <w:pStyle w:val="Listenabsatz"/>
        <w:numPr>
          <w:ilvl w:val="0"/>
          <w:numId w:val="4"/>
        </w:numPr>
        <w:rPr>
          <w:sz w:val="24"/>
        </w:rPr>
      </w:pPr>
      <w:proofErr w:type="spellStart"/>
      <w:r>
        <w:rPr>
          <w:sz w:val="24"/>
        </w:rPr>
        <w:t>Due</w:t>
      </w:r>
      <w:proofErr w:type="spellEnd"/>
      <w:r>
        <w:rPr>
          <w:sz w:val="24"/>
        </w:rPr>
        <w:t xml:space="preserve"> Europäische Kommission möchte auf Art. 103 AEUV gestützt die Richtlinie 2004/104/EU über bestimmte </w:t>
      </w:r>
      <w:proofErr w:type="spellStart"/>
      <w:r>
        <w:rPr>
          <w:sz w:val="24"/>
        </w:rPr>
        <w:t>Vorschirften</w:t>
      </w:r>
      <w:proofErr w:type="spellEnd"/>
      <w:r>
        <w:rPr>
          <w:sz w:val="24"/>
        </w:rPr>
        <w:t xml:space="preserve"> für Schadenersatzklagen </w:t>
      </w:r>
      <w:proofErr w:type="spellStart"/>
      <w:r>
        <w:rPr>
          <w:sz w:val="24"/>
        </w:rPr>
        <w:t>wergen</w:t>
      </w:r>
      <w:proofErr w:type="spellEnd"/>
      <w:r>
        <w:rPr>
          <w:sz w:val="24"/>
        </w:rPr>
        <w:t xml:space="preserve"> Zuwiderhandlungen gegen </w:t>
      </w:r>
      <w:proofErr w:type="spellStart"/>
      <w:r>
        <w:rPr>
          <w:sz w:val="24"/>
        </w:rPr>
        <w:t>wetteberbsrechtliche</w:t>
      </w:r>
      <w:proofErr w:type="spellEnd"/>
      <w:r>
        <w:rPr>
          <w:sz w:val="24"/>
        </w:rPr>
        <w:t xml:space="preserve"> Bestimmungen reformieren.</w:t>
      </w:r>
    </w:p>
    <w:p w:rsidR="00635E80" w:rsidRDefault="00635E80" w:rsidP="00635E80">
      <w:pPr>
        <w:pStyle w:val="Listenabsatz"/>
        <w:numPr>
          <w:ilvl w:val="1"/>
          <w:numId w:val="4"/>
        </w:numPr>
        <w:rPr>
          <w:sz w:val="24"/>
        </w:rPr>
      </w:pPr>
      <w:r>
        <w:rPr>
          <w:sz w:val="24"/>
        </w:rPr>
        <w:t xml:space="preserve">Welche Kompetenzart kommt der EU im Bereich des </w:t>
      </w:r>
      <w:proofErr w:type="gramStart"/>
      <w:r>
        <w:rPr>
          <w:sz w:val="24"/>
        </w:rPr>
        <w:t>Wettbewerbsrecht</w:t>
      </w:r>
      <w:proofErr w:type="gramEnd"/>
      <w:r>
        <w:rPr>
          <w:sz w:val="24"/>
        </w:rPr>
        <w:t xml:space="preserve"> zu?</w:t>
      </w:r>
    </w:p>
    <w:p w:rsidR="00635E80" w:rsidRDefault="00635E80" w:rsidP="00635E80">
      <w:pPr>
        <w:pStyle w:val="Listenabsatz"/>
        <w:numPr>
          <w:ilvl w:val="1"/>
          <w:numId w:val="4"/>
        </w:numPr>
        <w:rPr>
          <w:sz w:val="24"/>
        </w:rPr>
      </w:pPr>
      <w:r>
        <w:rPr>
          <w:sz w:val="24"/>
        </w:rPr>
        <w:t xml:space="preserve">Darf auf Grundlage von Art. 103 AEUV grundsätzlich eine Verordnung erlassen </w:t>
      </w:r>
      <w:proofErr w:type="spellStart"/>
      <w:r>
        <w:rPr>
          <w:sz w:val="24"/>
        </w:rPr>
        <w:t>werdn</w:t>
      </w:r>
      <w:proofErr w:type="spellEnd"/>
      <w:r>
        <w:rPr>
          <w:sz w:val="24"/>
        </w:rPr>
        <w:t>? Begründe.</w:t>
      </w:r>
    </w:p>
    <w:p w:rsidR="00635E80" w:rsidRDefault="00635E80" w:rsidP="00635E80">
      <w:pPr>
        <w:pStyle w:val="Listenabsatz"/>
        <w:numPr>
          <w:ilvl w:val="1"/>
          <w:numId w:val="4"/>
        </w:numPr>
        <w:rPr>
          <w:sz w:val="24"/>
        </w:rPr>
      </w:pPr>
      <w:r>
        <w:rPr>
          <w:sz w:val="24"/>
        </w:rPr>
        <w:t>Ist in dem Fall, dass eine Richtlinie auf Art. 103 AEUV gestützt ist, das ordentliche Gesetzgebungsverfahren anwendbar? Begründe.</w:t>
      </w:r>
    </w:p>
    <w:p w:rsidR="00635E80" w:rsidRDefault="00635E80" w:rsidP="00635E80">
      <w:pPr>
        <w:pStyle w:val="Listenabsatz"/>
        <w:numPr>
          <w:ilvl w:val="1"/>
          <w:numId w:val="4"/>
        </w:numPr>
        <w:rPr>
          <w:sz w:val="24"/>
        </w:rPr>
      </w:pPr>
      <w:r>
        <w:rPr>
          <w:sz w:val="24"/>
        </w:rPr>
        <w:t>Ist ein Bezug auf dieses Vorhaben das Prinzip der Subsidiarität zu beachten?</w:t>
      </w:r>
    </w:p>
    <w:p w:rsidR="00635E80" w:rsidRDefault="00635E80" w:rsidP="00635E80">
      <w:pPr>
        <w:pStyle w:val="Listenabsatz"/>
        <w:numPr>
          <w:ilvl w:val="1"/>
          <w:numId w:val="4"/>
        </w:numPr>
        <w:rPr>
          <w:sz w:val="24"/>
        </w:rPr>
      </w:pPr>
      <w:r>
        <w:rPr>
          <w:sz w:val="24"/>
        </w:rPr>
        <w:t xml:space="preserve">Die Europäische Kommission bemerkt im Zuge ihrer </w:t>
      </w:r>
      <w:proofErr w:type="spellStart"/>
      <w:r>
        <w:rPr>
          <w:sz w:val="24"/>
        </w:rPr>
        <w:t>Vrobereitungen</w:t>
      </w:r>
      <w:proofErr w:type="spellEnd"/>
      <w:r>
        <w:rPr>
          <w:sz w:val="24"/>
        </w:rPr>
        <w:t xml:space="preserve">, dass dieses Gesetzgebungsvorhaben mehrere Materien betrifft, konkret Wettbewerbsrecht und </w:t>
      </w:r>
      <w:proofErr w:type="gramStart"/>
      <w:r>
        <w:rPr>
          <w:sz w:val="24"/>
        </w:rPr>
        <w:t>Binnenmarkt .</w:t>
      </w:r>
      <w:proofErr w:type="gramEnd"/>
      <w:r>
        <w:rPr>
          <w:sz w:val="24"/>
        </w:rPr>
        <w:t xml:space="preserve"> Wie </w:t>
      </w:r>
      <w:proofErr w:type="spellStart"/>
      <w:r>
        <w:rPr>
          <w:sz w:val="24"/>
        </w:rPr>
        <w:t>wied</w:t>
      </w:r>
      <w:proofErr w:type="spellEnd"/>
      <w:r>
        <w:rPr>
          <w:sz w:val="24"/>
        </w:rPr>
        <w:t xml:space="preserve"> die EU Kommission vorgehen?</w:t>
      </w:r>
    </w:p>
    <w:p w:rsidR="00635E80" w:rsidRDefault="00635E80" w:rsidP="00635E80">
      <w:pPr>
        <w:pStyle w:val="Listenabsatz"/>
        <w:numPr>
          <w:ilvl w:val="0"/>
          <w:numId w:val="4"/>
        </w:numPr>
        <w:rPr>
          <w:sz w:val="24"/>
        </w:rPr>
      </w:pPr>
      <w:r>
        <w:rPr>
          <w:sz w:val="24"/>
        </w:rPr>
        <w:lastRenderedPageBreak/>
        <w:t xml:space="preserve">Als die </w:t>
      </w:r>
      <w:proofErr w:type="spellStart"/>
      <w:r>
        <w:rPr>
          <w:sz w:val="24"/>
        </w:rPr>
        <w:t>Cyprus</w:t>
      </w:r>
      <w:proofErr w:type="spellEnd"/>
      <w:r>
        <w:rPr>
          <w:sz w:val="24"/>
        </w:rPr>
        <w:t xml:space="preserve"> </w:t>
      </w:r>
      <w:proofErr w:type="spellStart"/>
      <w:r>
        <w:rPr>
          <w:sz w:val="24"/>
        </w:rPr>
        <w:t>Popular</w:t>
      </w:r>
      <w:proofErr w:type="spellEnd"/>
      <w:r>
        <w:rPr>
          <w:sz w:val="24"/>
        </w:rPr>
        <w:t xml:space="preserve"> Bank in Zypern in finanzielle Schwierigkeiten geriet, stellte die zyprische Regierung einen Antrag auf Finanzhilfe beim Präsidenten der Euro Gruppe. Nach entsprechenden Verhandlungen teilte die Euro Gruppe mit, dass diese zu einer Umstrukturierung der CPB </w:t>
      </w:r>
      <w:proofErr w:type="spellStart"/>
      <w:r>
        <w:rPr>
          <w:sz w:val="24"/>
        </w:rPr>
        <w:t>gerführt</w:t>
      </w:r>
      <w:proofErr w:type="spellEnd"/>
      <w:r>
        <w:rPr>
          <w:sz w:val="24"/>
        </w:rPr>
        <w:t xml:space="preserve"> hätten; die Finanzhilfe wurde gewährt. Allerdings hatte nach Ansicht von Einzelpersonen und Gesellschaften, die zu dieser Zeit Inhaber von Einlagenkontos bzw. Anleihegläubiger bei der CPB waren, die Durchführung der mit den zyprischen Behörden vereinbarten Maßnahmen einen wesentlichen Wertverlust ihrer Einlagen, Aktien oder </w:t>
      </w:r>
      <w:proofErr w:type="spellStart"/>
      <w:r>
        <w:rPr>
          <w:sz w:val="24"/>
        </w:rPr>
        <w:t>Anleigen</w:t>
      </w:r>
      <w:proofErr w:type="spellEnd"/>
      <w:r>
        <w:rPr>
          <w:sz w:val="24"/>
        </w:rPr>
        <w:t xml:space="preserve"> zur Folge. Sie wollen daher die Euro-Gruppe auf Ersatz des ihnen entstandenen Schadens klagen.</w:t>
      </w:r>
    </w:p>
    <w:p w:rsidR="00635E80" w:rsidRDefault="00635E80" w:rsidP="00635E80">
      <w:pPr>
        <w:pStyle w:val="Listenabsatz"/>
        <w:numPr>
          <w:ilvl w:val="1"/>
          <w:numId w:val="4"/>
        </w:numPr>
        <w:rPr>
          <w:sz w:val="24"/>
        </w:rPr>
      </w:pPr>
      <w:r>
        <w:rPr>
          <w:sz w:val="24"/>
        </w:rPr>
        <w:t>Auf welche Rechtsgrundlage stützt sich die Schadensersatzklage? Worauf ist die Klage gerichtet?</w:t>
      </w:r>
    </w:p>
    <w:p w:rsidR="00635E80" w:rsidRDefault="00635E80" w:rsidP="00635E80">
      <w:pPr>
        <w:pStyle w:val="Listenabsatz"/>
        <w:numPr>
          <w:ilvl w:val="1"/>
          <w:numId w:val="4"/>
        </w:numPr>
        <w:rPr>
          <w:sz w:val="24"/>
        </w:rPr>
      </w:pPr>
      <w:r w:rsidRPr="00DE1DBF">
        <w:rPr>
          <w:sz w:val="24"/>
        </w:rPr>
        <w:t>Vor welchem Gericht ist der Anspruch geltend zu machen?</w:t>
      </w:r>
    </w:p>
    <w:p w:rsidR="00635E80" w:rsidRDefault="00635E80" w:rsidP="00635E80">
      <w:pPr>
        <w:pStyle w:val="Listenabsatz"/>
        <w:numPr>
          <w:ilvl w:val="1"/>
          <w:numId w:val="4"/>
        </w:numPr>
        <w:rPr>
          <w:sz w:val="24"/>
        </w:rPr>
      </w:pPr>
      <w:r>
        <w:rPr>
          <w:sz w:val="24"/>
        </w:rPr>
        <w:t xml:space="preserve">Handelt es sich bei der Euro Gruppe um ein Organ der EU? </w:t>
      </w:r>
      <w:proofErr w:type="spellStart"/>
      <w:r>
        <w:rPr>
          <w:sz w:val="24"/>
        </w:rPr>
        <w:t>Argumentiern</w:t>
      </w:r>
      <w:proofErr w:type="spellEnd"/>
      <w:r>
        <w:rPr>
          <w:sz w:val="24"/>
        </w:rPr>
        <w:t xml:space="preserve"> Sie unter Zuhilfenahme der einschlägigen rechtlichen Bestimmun! Wie würden Sie die Euro-Gruppe mit Bedacht auf ihre Aufgaben und Funktionsweise einordnen.</w:t>
      </w:r>
    </w:p>
    <w:p w:rsidR="00635E80" w:rsidRDefault="00635E80" w:rsidP="00635E80">
      <w:pPr>
        <w:pStyle w:val="Listenabsatz"/>
        <w:ind w:left="1440"/>
        <w:rPr>
          <w:sz w:val="24"/>
        </w:rPr>
      </w:pPr>
    </w:p>
    <w:p w:rsidR="00635E80" w:rsidRDefault="00635E80" w:rsidP="00635E80">
      <w:pPr>
        <w:pStyle w:val="Listenabsatz"/>
        <w:numPr>
          <w:ilvl w:val="0"/>
          <w:numId w:val="4"/>
        </w:numPr>
        <w:rPr>
          <w:sz w:val="24"/>
        </w:rPr>
      </w:pPr>
      <w:r>
        <w:rPr>
          <w:sz w:val="24"/>
        </w:rPr>
        <w:t xml:space="preserve">Das österreichische Verbraucherschutz Gesetz sieht einen Mindestverkaufspreis für alle zuckerhaltigen </w:t>
      </w:r>
      <w:proofErr w:type="spellStart"/>
      <w:r>
        <w:rPr>
          <w:sz w:val="24"/>
        </w:rPr>
        <w:t>Lifestylegetränke</w:t>
      </w:r>
      <w:proofErr w:type="spellEnd"/>
      <w:r>
        <w:rPr>
          <w:sz w:val="24"/>
        </w:rPr>
        <w:t xml:space="preserve"> vor, die in Österreich in Supermärkten verkauft werden. Der EUGH, der zu prüfen hatte, ob diese Regelung mit dem EU-Binnenmarktrecht in Einklang steht, stellte in seinem Urteil fest, dass sich Rechtsvorschriften wie diejenige des österreichischen Verbraucherschutz Gesetzes beschränkend auf den Binnenmarkt auswirken können. Der EuGH führte aus, dass das nationale Gericht feststellen muss, ob andere, gelindere Maßnahmen die Gesundheit und das Leben von Menschen ebenso wirksam schützen können, gleichzeitig aber den grenzüberschreitenden Handel innerhalb der Union weniger beschränken.</w:t>
      </w:r>
    </w:p>
    <w:p w:rsidR="00635E80" w:rsidRDefault="00635E80" w:rsidP="00635E80">
      <w:pPr>
        <w:pStyle w:val="Listenabsatz"/>
        <w:numPr>
          <w:ilvl w:val="1"/>
          <w:numId w:val="4"/>
        </w:numPr>
        <w:rPr>
          <w:sz w:val="24"/>
        </w:rPr>
      </w:pPr>
      <w:r>
        <w:rPr>
          <w:sz w:val="24"/>
        </w:rPr>
        <w:t>Welche Grundfreiheit ist betroffen? Welche Anhaltspunkte gibt es hierfür? Wo ist diese Grundfreiheit normiert.</w:t>
      </w:r>
    </w:p>
    <w:p w:rsidR="00635E80" w:rsidRPr="00635E80" w:rsidRDefault="00635E80" w:rsidP="00635E80">
      <w:pPr>
        <w:pStyle w:val="Listenabsatz"/>
        <w:numPr>
          <w:ilvl w:val="1"/>
          <w:numId w:val="4"/>
        </w:numPr>
        <w:rPr>
          <w:sz w:val="24"/>
        </w:rPr>
      </w:pPr>
      <w:r w:rsidRPr="00635E80">
        <w:rPr>
          <w:sz w:val="24"/>
        </w:rPr>
        <w:t xml:space="preserve">Womit </w:t>
      </w:r>
      <w:proofErr w:type="spellStart"/>
      <w:r w:rsidRPr="00635E80">
        <w:rPr>
          <w:sz w:val="24"/>
        </w:rPr>
        <w:t>beschäfitgt</w:t>
      </w:r>
      <w:proofErr w:type="spellEnd"/>
      <w:r w:rsidRPr="00635E80">
        <w:rPr>
          <w:sz w:val="24"/>
        </w:rPr>
        <w:t xml:space="preserve"> sich der EuGH? Was trägt er dem nationalen Gericht auf? Begründen Sie anhand der Anhaltspunkte im Sachverhalt und unter Heranziehen des Prüfungsschemas.</w:t>
      </w:r>
    </w:p>
    <w:p w:rsidR="00635E80" w:rsidRPr="00635E80" w:rsidRDefault="00635E80" w:rsidP="00635E80"/>
    <w:sectPr w:rsidR="00635E80" w:rsidRPr="00635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9387F"/>
    <w:multiLevelType w:val="hybridMultilevel"/>
    <w:tmpl w:val="2960B3B2"/>
    <w:lvl w:ilvl="0" w:tplc="04070019">
      <w:start w:val="1"/>
      <w:numFmt w:val="lowerLetter"/>
      <w:lvlText w:val="%1."/>
      <w:lvlJc w:val="left"/>
      <w:pPr>
        <w:ind w:left="2160" w:hanging="360"/>
      </w:pPr>
    </w:lvl>
    <w:lvl w:ilvl="1" w:tplc="04070019">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 w15:restartNumberingAfterBreak="0">
    <w:nsid w:val="2342568D"/>
    <w:multiLevelType w:val="hybridMultilevel"/>
    <w:tmpl w:val="246CBE0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77125344">
      <w:start w:val="1"/>
      <w:numFmt w:val="decimal"/>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1F22F8"/>
    <w:multiLevelType w:val="hybridMultilevel"/>
    <w:tmpl w:val="9D9859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EA3D8A"/>
    <w:multiLevelType w:val="hybridMultilevel"/>
    <w:tmpl w:val="0EA67C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72298A"/>
    <w:multiLevelType w:val="hybridMultilevel"/>
    <w:tmpl w:val="A6CC5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B0770E"/>
    <w:multiLevelType w:val="hybridMultilevel"/>
    <w:tmpl w:val="81EE08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80"/>
    <w:rsid w:val="005869D1"/>
    <w:rsid w:val="00635E80"/>
    <w:rsid w:val="00741862"/>
    <w:rsid w:val="00772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74BE9-CD9D-4DA7-B853-06F325F5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461F8298C7F4BAB1461BF9AFBC27F" ma:contentTypeVersion="13" ma:contentTypeDescription="Ein neues Dokument erstellen." ma:contentTypeScope="" ma:versionID="226978f2ed0808d7c694f2f1a56078da">
  <xsd:schema xmlns:xsd="http://www.w3.org/2001/XMLSchema" xmlns:xs="http://www.w3.org/2001/XMLSchema" xmlns:p="http://schemas.microsoft.com/office/2006/metadata/properties" xmlns:ns2="78a9a50c-9071-4e01-96d1-54c79ce3cc51" xmlns:ns3="d6815d04-eb0b-48f3-ac73-42ae39f6c7a7" targetNamespace="http://schemas.microsoft.com/office/2006/metadata/properties" ma:root="true" ma:fieldsID="3c92131f4ed626b76874c5d5c4ba0c51" ns2:_="" ns3:_="">
    <xsd:import namespace="78a9a50c-9071-4e01-96d1-54c79ce3cc51"/>
    <xsd:import namespace="d6815d04-eb0b-48f3-ac73-42ae39f6c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a50c-9071-4e01-96d1-54c79ce3c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815d04-eb0b-48f3-ac73-42ae39f6c7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70E37-998E-4172-ADE1-68425FD3C2B6}"/>
</file>

<file path=customXml/itemProps2.xml><?xml version="1.0" encoding="utf-8"?>
<ds:datastoreItem xmlns:ds="http://schemas.openxmlformats.org/officeDocument/2006/customXml" ds:itemID="{59817CA9-F6B5-44C1-9215-9856A5F2106C}"/>
</file>

<file path=customXml/itemProps3.xml><?xml version="1.0" encoding="utf-8"?>
<ds:datastoreItem xmlns:ds="http://schemas.openxmlformats.org/officeDocument/2006/customXml" ds:itemID="{165CEF08-0750-4FF8-9D70-2F37BBC641BD}"/>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w7pro</dc:creator>
  <cp:keywords/>
  <dc:description/>
  <cp:lastModifiedBy>w7pro</cp:lastModifiedBy>
  <cp:revision>1</cp:revision>
  <dcterms:created xsi:type="dcterms:W3CDTF">2020-12-28T11:42:00Z</dcterms:created>
  <dcterms:modified xsi:type="dcterms:W3CDTF">2020-12-28T11:48:00Z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0x010100D63461F8298C7F4BAB1461BF9AFBC27F</vt:lpwstr>
  </property>
</Properties>
</file>